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A8" w:rsidRPr="002B4115" w:rsidRDefault="00AE77EB" w:rsidP="009278A8">
      <w:pPr>
        <w:autoSpaceDE w:val="0"/>
        <w:autoSpaceDN w:val="0"/>
        <w:adjustRightInd w:val="0"/>
        <w:spacing w:line="520" w:lineRule="exact"/>
        <w:jc w:val="center"/>
        <w:rPr>
          <w:rFonts w:ascii="標楷體" w:eastAsia="標楷體" w:hAnsi="Calibri" w:cs="標楷體"/>
          <w:b/>
          <w:kern w:val="0"/>
          <w:sz w:val="40"/>
          <w:szCs w:val="40"/>
          <w:lang w:val="zh-TW"/>
        </w:rPr>
      </w:pPr>
      <w:r w:rsidRPr="002B4115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10</w:t>
      </w:r>
      <w:r w:rsidR="001732D0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7</w:t>
      </w:r>
      <w:r w:rsidRPr="002B4115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年</w:t>
      </w:r>
      <w:proofErr w:type="gramStart"/>
      <w:r w:rsidR="0070039D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臺</w:t>
      </w:r>
      <w:proofErr w:type="gramEnd"/>
      <w:r w:rsidR="0070039D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中市外埔區公所</w:t>
      </w:r>
      <w:r w:rsidR="00765AE1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中秋</w:t>
      </w:r>
      <w:r w:rsidR="003F1ED5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節連假</w:t>
      </w:r>
      <w:r w:rsidRPr="00AE77EB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期間公務機密與機關安全維護</w:t>
      </w:r>
      <w:r w:rsidR="009278A8" w:rsidRPr="00AE77EB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重點措施</w:t>
      </w:r>
      <w:r w:rsidR="009278A8">
        <w:rPr>
          <w:rFonts w:ascii="標楷體" w:eastAsia="標楷體" w:hAnsi="Calibri" w:cs="標楷體" w:hint="eastAsia"/>
          <w:b/>
          <w:kern w:val="0"/>
          <w:sz w:val="40"/>
          <w:szCs w:val="40"/>
          <w:lang w:val="zh-TW"/>
        </w:rPr>
        <w:t>計畫</w:t>
      </w:r>
    </w:p>
    <w:p w:rsidR="00112B25" w:rsidRDefault="00112B25" w:rsidP="00112B25">
      <w:pPr>
        <w:autoSpaceDE w:val="0"/>
        <w:autoSpaceDN w:val="0"/>
        <w:adjustRightInd w:val="0"/>
        <w:spacing w:line="520" w:lineRule="exact"/>
        <w:jc w:val="center"/>
        <w:rPr>
          <w:rFonts w:ascii="標楷體" w:eastAsia="標楷體" w:hAnsi="Calibri" w:cs="標楷體"/>
          <w:b/>
          <w:kern w:val="0"/>
          <w:sz w:val="40"/>
          <w:szCs w:val="40"/>
          <w:lang w:val="zh-TW"/>
        </w:rPr>
      </w:pPr>
    </w:p>
    <w:p w:rsidR="009F1156" w:rsidRPr="00D27C24" w:rsidRDefault="00D27C24" w:rsidP="00D27C24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b/>
          <w:kern w:val="0"/>
          <w:sz w:val="32"/>
          <w:szCs w:val="32"/>
          <w:lang w:val="zh-TW"/>
        </w:rPr>
      </w:pPr>
      <w:r w:rsidRPr="00D27C24">
        <w:rPr>
          <w:rFonts w:ascii="標楷體" w:eastAsia="標楷體" w:hAnsi="Calibri" w:cs="標楷體" w:hint="eastAsia"/>
          <w:b/>
          <w:kern w:val="0"/>
          <w:sz w:val="32"/>
          <w:szCs w:val="32"/>
          <w:lang w:val="zh-TW"/>
        </w:rPr>
        <w:t>依據</w:t>
      </w:r>
      <w:r w:rsidR="003753A4">
        <w:rPr>
          <w:rFonts w:ascii="標楷體" w:eastAsia="標楷體" w:hAnsi="Calibri" w:cs="標楷體" w:hint="eastAsia"/>
          <w:b/>
          <w:kern w:val="0"/>
          <w:sz w:val="32"/>
          <w:szCs w:val="32"/>
          <w:lang w:val="zh-TW"/>
        </w:rPr>
        <w:t>：</w:t>
      </w:r>
    </w:p>
    <w:p w:rsidR="00D27C24" w:rsidRDefault="00501322" w:rsidP="00501322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Lines="50" w:before="180" w:line="560" w:lineRule="exact"/>
        <w:ind w:leftChars="0" w:left="993" w:hanging="753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市府政風處</w:t>
      </w:r>
      <w:r w:rsidR="007504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105年12月</w:t>
      </w:r>
      <w:r w:rsidR="003E362B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27</w:t>
      </w:r>
      <w:r w:rsidR="007504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日</w:t>
      </w:r>
      <w:r w:rsidR="003E362B" w:rsidRPr="003E362B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中市政一字第1050012075號</w:t>
      </w:r>
      <w:r w:rsidR="00AC07D6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函</w:t>
      </w:r>
      <w:r w:rsidR="006F17F0" w:rsidRPr="007504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。</w:t>
      </w:r>
    </w:p>
    <w:p w:rsidR="004D17E7" w:rsidRDefault="00657A2B" w:rsidP="00657A2B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政風機構預防危害或破壞本機關事件作業要點。</w:t>
      </w:r>
    </w:p>
    <w:p w:rsidR="00B81665" w:rsidRPr="001732D0" w:rsidRDefault="00B81665" w:rsidP="00B81665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Lines="50" w:before="180" w:line="560" w:lineRule="exact"/>
        <w:ind w:leftChars="0" w:left="851" w:hanging="611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proofErr w:type="gramStart"/>
      <w:r w:rsidRPr="00B8166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臺</w:t>
      </w:r>
      <w:proofErr w:type="gramEnd"/>
      <w:r w:rsidRPr="00B8166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中市政府重要節日期間公務機密與機關安全維護重點措施計畫</w:t>
      </w:r>
      <w:r>
        <w:rPr>
          <w:rFonts w:ascii="新細明體" w:eastAsia="新細明體" w:hAnsi="新細明體" w:cs="標楷體" w:hint="eastAsia"/>
          <w:kern w:val="0"/>
          <w:sz w:val="32"/>
          <w:szCs w:val="32"/>
          <w:lang w:val="zh-TW"/>
        </w:rPr>
        <w:t>。</w:t>
      </w:r>
    </w:p>
    <w:p w:rsidR="001732D0" w:rsidRPr="001732D0" w:rsidRDefault="001732D0" w:rsidP="00B81665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Lines="50" w:before="180" w:line="560" w:lineRule="exact"/>
        <w:ind w:leftChars="0" w:left="851" w:hanging="611"/>
        <w:jc w:val="both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 w:rsidRPr="001732D0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本所107年廉政工作計畫</w:t>
      </w:r>
      <w:r>
        <w:rPr>
          <w:rFonts w:ascii="新細明體" w:eastAsia="新細明體" w:hAnsi="新細明體" w:cs="標楷體" w:hint="eastAsia"/>
          <w:kern w:val="0"/>
          <w:sz w:val="32"/>
          <w:szCs w:val="32"/>
          <w:lang w:val="zh-TW"/>
        </w:rPr>
        <w:t>。</w:t>
      </w:r>
    </w:p>
    <w:p w:rsidR="003753A4" w:rsidRPr="001732D0" w:rsidRDefault="003753A4" w:rsidP="003753A4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標楷體" w:cs="標楷體"/>
          <w:b/>
          <w:kern w:val="0"/>
          <w:sz w:val="32"/>
          <w:szCs w:val="32"/>
          <w:lang w:val="zh-TW"/>
        </w:rPr>
      </w:pPr>
      <w:r w:rsidRPr="001732D0">
        <w:rPr>
          <w:rFonts w:ascii="標楷體" w:eastAsia="標楷體" w:hAnsi="標楷體" w:cs="標楷體" w:hint="eastAsia"/>
          <w:b/>
          <w:kern w:val="0"/>
          <w:sz w:val="32"/>
          <w:szCs w:val="32"/>
          <w:lang w:val="zh-TW"/>
        </w:rPr>
        <w:t>目的：</w:t>
      </w:r>
    </w:p>
    <w:p w:rsidR="009278A8" w:rsidRPr="00F90FC3" w:rsidRDefault="009278A8" w:rsidP="00F90FC3">
      <w:pPr>
        <w:pStyle w:val="a9"/>
        <w:autoSpaceDE w:val="0"/>
        <w:autoSpaceDN w:val="0"/>
        <w:adjustRightInd w:val="0"/>
        <w:spacing w:beforeLines="50" w:before="180" w:line="560" w:lineRule="exact"/>
        <w:ind w:leftChars="0" w:left="675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9278A8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為加強</w:t>
      </w:r>
      <w:r w:rsidR="00F05E16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中秋</w:t>
      </w:r>
      <w:r w:rsidR="00AC0262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節連</w:t>
      </w:r>
      <w:proofErr w:type="gramStart"/>
      <w:r w:rsidR="00AC0262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假</w:t>
      </w:r>
      <w:r w:rsidR="00F90FC3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期間本所</w:t>
      </w:r>
      <w:proofErr w:type="gramEnd"/>
      <w:r w:rsidR="00F90FC3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公務機密暨機關安全維護工作，先期規劃並協調本所各課室</w:t>
      </w: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配合推動各項安全及公務機密維護措施，期結合整體力量機先防範危安、洩密及破壞事件，確保本</w:t>
      </w:r>
      <w:r w:rsidRPr="00F90FC3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機關安全。</w:t>
      </w:r>
    </w:p>
    <w:p w:rsidR="00EE500C" w:rsidRDefault="00EE500C" w:rsidP="003753A4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b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b/>
          <w:kern w:val="0"/>
          <w:sz w:val="32"/>
          <w:szCs w:val="32"/>
          <w:lang w:val="zh-TW"/>
        </w:rPr>
        <w:t>任務：</w:t>
      </w:r>
    </w:p>
    <w:p w:rsidR="00980262" w:rsidRPr="00980262" w:rsidRDefault="00F90FC3" w:rsidP="00980262">
      <w:pPr>
        <w:pStyle w:val="a9"/>
        <w:numPr>
          <w:ilvl w:val="0"/>
          <w:numId w:val="6"/>
        </w:numPr>
        <w:autoSpaceDE w:val="0"/>
        <w:autoSpaceDN w:val="0"/>
        <w:adjustRightInd w:val="0"/>
        <w:spacing w:beforeLines="50" w:before="180" w:line="560" w:lineRule="exact"/>
        <w:ind w:leftChars="100" w:left="88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結合本所各課室力量，策劃、協調落實執行本</w:t>
      </w:r>
      <w:r w:rsidR="00980262" w:rsidRPr="00980262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機關安全維護各項措施，確保</w:t>
      </w:r>
      <w:r w:rsidR="001732D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107</w:t>
      </w:r>
      <w:r w:rsidR="005D7E59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年</w:t>
      </w:r>
      <w:r w:rsidR="00F05E16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中秋</w:t>
      </w:r>
      <w:r w:rsidR="00AC0262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節連假</w:t>
      </w:r>
      <w:r w:rsidR="00980262" w:rsidRPr="00980262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期間機關設施及人員之安全維護工作。</w:t>
      </w:r>
    </w:p>
    <w:p w:rsidR="00980262" w:rsidRPr="00980262" w:rsidRDefault="00241DF7" w:rsidP="00241DF7">
      <w:pPr>
        <w:pStyle w:val="a9"/>
        <w:numPr>
          <w:ilvl w:val="0"/>
          <w:numId w:val="6"/>
        </w:numPr>
        <w:autoSpaceDE w:val="0"/>
        <w:autoSpaceDN w:val="0"/>
        <w:adjustRightInd w:val="0"/>
        <w:spacing w:beforeLines="50" w:before="180" w:line="560" w:lineRule="exact"/>
        <w:ind w:leftChars="100" w:left="88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蒐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報危害、破壞及重大陳情請願等預警性資料，機先提供權責機關處理。</w:t>
      </w:r>
    </w:p>
    <w:p w:rsidR="00EE500C" w:rsidRDefault="00EE500C" w:rsidP="003753A4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b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b/>
          <w:kern w:val="0"/>
          <w:sz w:val="32"/>
          <w:szCs w:val="32"/>
          <w:lang w:val="zh-TW"/>
        </w:rPr>
        <w:lastRenderedPageBreak/>
        <w:t>工作期程：</w:t>
      </w:r>
    </w:p>
    <w:p w:rsidR="00457717" w:rsidRPr="00457717" w:rsidRDefault="00B568E3" w:rsidP="00457717">
      <w:pPr>
        <w:pStyle w:val="a9"/>
        <w:autoSpaceDE w:val="0"/>
        <w:autoSpaceDN w:val="0"/>
        <w:adjustRightInd w:val="0"/>
        <w:spacing w:beforeLines="50" w:before="180" w:line="560" w:lineRule="exact"/>
        <w:ind w:leftChars="0" w:left="675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自</w:t>
      </w:r>
      <w:r w:rsidR="001732D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107</w:t>
      </w:r>
      <w:r w:rsidR="00457717" w:rsidRPr="00457717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年</w:t>
      </w:r>
      <w:r w:rsidR="00F05E16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9</w:t>
      </w:r>
      <w:r w:rsidR="00457717" w:rsidRPr="00457717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月</w:t>
      </w:r>
      <w:r w:rsidR="00F05E16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3</w:t>
      </w:r>
      <w:r w:rsidR="001732D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日（星期一</w:t>
      </w:r>
      <w:r w:rsidR="00457717" w:rsidRPr="00457717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）22時起至</w:t>
      </w:r>
      <w:r w:rsidR="00F05E16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9</w:t>
      </w:r>
      <w:r w:rsidR="00457717" w:rsidRPr="00457717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月</w:t>
      </w:r>
      <w:r w:rsidR="00F05E16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24</w:t>
      </w:r>
      <w:r w:rsidR="001732D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日（星期一</w:t>
      </w:r>
      <w:r w:rsidR="00457717" w:rsidRPr="00457717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）24時止，為期</w:t>
      </w:r>
      <w:r w:rsidR="00F05E16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21</w:t>
      </w:r>
      <w:r w:rsidR="00457717" w:rsidRPr="00457717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日。</w:t>
      </w:r>
    </w:p>
    <w:p w:rsidR="00294720" w:rsidRDefault="00294720" w:rsidP="003753A4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b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b/>
          <w:kern w:val="0"/>
          <w:sz w:val="32"/>
          <w:szCs w:val="32"/>
          <w:lang w:val="zh-TW"/>
        </w:rPr>
        <w:t>工作執行要項：</w:t>
      </w:r>
    </w:p>
    <w:p w:rsidR="001C673C" w:rsidRDefault="001C673C" w:rsidP="00D5096C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Lines="50" w:before="180" w:line="560" w:lineRule="exact"/>
        <w:ind w:leftChars="100" w:left="88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1C673C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公務機密維護</w:t>
      </w: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部分</w:t>
      </w:r>
      <w:r w:rsidRPr="001C673C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：</w:t>
      </w:r>
    </w:p>
    <w:p w:rsidR="004C0031" w:rsidRDefault="004C0031" w:rsidP="004C0031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4C003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加強宣導保密規定，公務機密非經權責主管人員核准，不得複製及攜出辦公處所，並要求機關員工切勿將機敏公文存於</w:t>
      </w:r>
      <w:proofErr w:type="gramStart"/>
      <w:r w:rsidRPr="004C003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隨身碟攜回家</w:t>
      </w:r>
      <w:proofErr w:type="gramEnd"/>
      <w:r w:rsidRPr="004C003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中辦理。</w:t>
      </w:r>
    </w:p>
    <w:p w:rsidR="004C0031" w:rsidRDefault="00047DDC" w:rsidP="004C0031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加強宣導國家機密保護法之維護規定及罰則，以增進機關員工保密觀念。</w:t>
      </w:r>
    </w:p>
    <w:p w:rsidR="007E6EC8" w:rsidRDefault="007E6EC8" w:rsidP="004C0031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實施稽核抽查公文收發、檔案管理及傳遞過程，可能產生文書保密疏漏環節，並加強維護措施；保密通訊設備應實施檢核，機敏文件內容應避免電子傳輸，以杜絕公務機密外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洩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情事。</w:t>
      </w:r>
    </w:p>
    <w:p w:rsidR="004E24B0" w:rsidRDefault="00CC410D" w:rsidP="004C0031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協助機關強化資通安全管理、電腦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週邊設備檢管及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實施保密安全檢查，積極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蒐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報網路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安全情資及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影響國家安全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之資安事件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，並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加強資安宣導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及檢測，以提升機關同仁安全認知及警覺。</w:t>
      </w:r>
    </w:p>
    <w:p w:rsidR="00131986" w:rsidRDefault="00FB1672" w:rsidP="004C0031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協請機關資訊部門加強</w:t>
      </w:r>
      <w:r w:rsidR="00131986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委外廠商之監督，並注意連續假日期間電腦機房門禁管制措施及監視設備是否正常。</w:t>
      </w:r>
    </w:p>
    <w:p w:rsidR="00CC410D" w:rsidRDefault="0005227E" w:rsidP="004C0031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遇有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重大資安異常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案件，應通報當地調查處站，並循</w:t>
      </w: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lastRenderedPageBreak/>
        <w:t>行政院國家資通安全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會報資安事件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通報應變作業流程辦理。</w:t>
      </w:r>
    </w:p>
    <w:p w:rsidR="0058295D" w:rsidRPr="00652AA8" w:rsidRDefault="00D95F3E" w:rsidP="009B0E51">
      <w:pPr>
        <w:pStyle w:val="a9"/>
        <w:numPr>
          <w:ilvl w:val="0"/>
          <w:numId w:val="5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遇有重大</w:t>
      </w:r>
      <w:r w:rsidR="0058295D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疑似洩漏國家機密或一般公務機密案件，應立即查明洩密管道，迅謀補救，防堵危害擴大。</w:t>
      </w:r>
    </w:p>
    <w:p w:rsidR="001C673C" w:rsidRDefault="00D5096C" w:rsidP="006905A6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Lines="50" w:before="180" w:line="560" w:lineRule="exact"/>
        <w:ind w:leftChars="100" w:left="88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機關安全維護部分：</w:t>
      </w:r>
    </w:p>
    <w:p w:rsidR="00652AA8" w:rsidRDefault="009B0E51" w:rsidP="009B0E51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9B0E5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評估機關安全狀況，協調機關事務或業管單位，訂定周全計畫或執行細項，強化機關安全維護等措施。</w:t>
      </w:r>
    </w:p>
    <w:p w:rsidR="0045771D" w:rsidRDefault="001A000F" w:rsidP="009B0E51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針對易為恐怖攻擊破壞目標(如交通運輸系統、重要民生物資儲存設施，以及政經、外交等象徵意義之硬體設施等)，應協請機關業管單位強化安全維護措施及辦理消防、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反恐講習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或演練，以熟悉緊急動員及應變作為。</w:t>
      </w:r>
    </w:p>
    <w:p w:rsidR="005221CF" w:rsidRDefault="005221CF" w:rsidP="009B0E51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預</w:t>
      </w:r>
      <w:r w:rsidR="006515D3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先執行機關設施安全狀況檢查，先期發覺</w:t>
      </w:r>
      <w:proofErr w:type="gramStart"/>
      <w:r w:rsidR="006515D3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潛存危安</w:t>
      </w:r>
      <w:proofErr w:type="gramEnd"/>
      <w:r w:rsidR="006515D3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漏洞，迅謀改善。</w:t>
      </w:r>
    </w:p>
    <w:p w:rsidR="006515D3" w:rsidRDefault="00F90FC3" w:rsidP="009B0E51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針對機關內重要設施及轄管廠庫</w:t>
      </w:r>
      <w:r w:rsidR="00202C3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處所，協調機關事務或業管單位強化機關安全維護措施，加強門禁管理，檢視監視系統監視範圍、清晰度及消防設備等安全維護措施，並請警衛（保全）人員加強值勤巡查、辨識，隨時與轄區警方聯繫，建立安全維護網絡，防範竊盜、破壞、縱火、爆炸及恐怖攻擊等危害破壞狀況。</w:t>
      </w:r>
    </w:p>
    <w:p w:rsidR="00202C31" w:rsidRDefault="00F05E16" w:rsidP="009B0E51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中秋</w:t>
      </w:r>
      <w:bookmarkStart w:id="0" w:name="_GoBack"/>
      <w:bookmarkEnd w:id="0"/>
      <w:r w:rsidR="00D25784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節連假</w:t>
      </w:r>
      <w:r w:rsidR="00202C3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期間加強與機關值勤人員、轄區警察機關、調查機關保持暢通聯繫管道，適時掌握危安及</w:t>
      </w:r>
      <w:proofErr w:type="gramStart"/>
      <w:r w:rsidR="00202C3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預警情</w:t>
      </w:r>
      <w:r w:rsidR="00202C3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lastRenderedPageBreak/>
        <w:t>資</w:t>
      </w:r>
      <w:proofErr w:type="gramEnd"/>
      <w:r w:rsidR="00202C31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，若發生重大危安預警狀況時（例如機關人員重大傷亡、重大意外事故</w:t>
      </w:r>
      <w:r w:rsidR="00826606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及其他</w:t>
      </w:r>
      <w:proofErr w:type="gramStart"/>
      <w:r w:rsidR="00826606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攸</w:t>
      </w:r>
      <w:proofErr w:type="gramEnd"/>
      <w:r w:rsidR="00826606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關民生之重大意外事件等），應立即適</w:t>
      </w:r>
      <w:proofErr w:type="gramStart"/>
      <w:r w:rsidR="00826606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採</w:t>
      </w:r>
      <w:proofErr w:type="gramEnd"/>
      <w:r w:rsidR="00826606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因應措施予通報警察及消防機關協助處理。</w:t>
      </w:r>
    </w:p>
    <w:p w:rsidR="00615213" w:rsidRDefault="00FF48E5" w:rsidP="009B0E51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遇有國家元首、副元首及國賓蒞臨，應全力配合警衛安全措施，並協助</w:t>
      </w:r>
      <w:proofErr w:type="gramStart"/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蒐報危</w:t>
      </w:r>
      <w:proofErr w:type="gramEnd"/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安預警資料，適時提供有關單位預為處置，</w:t>
      </w:r>
      <w:proofErr w:type="gramStart"/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俾</w:t>
      </w:r>
      <w:proofErr w:type="gramEnd"/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消弭維護死角。</w:t>
      </w:r>
    </w:p>
    <w:p w:rsidR="00FF48E5" w:rsidRDefault="00FF48E5" w:rsidP="009B0E51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協助提報違反國家安全法第2條之1情事，</w:t>
      </w:r>
      <w:proofErr w:type="gramStart"/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蒐</w:t>
      </w:r>
      <w:proofErr w:type="gramEnd"/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獲危害國家安全及影響國家</w:t>
      </w:r>
      <w:proofErr w:type="gramStart"/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利益情資</w:t>
      </w:r>
      <w:proofErr w:type="gramEnd"/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，應立即通報地區調查機關處理。另可能危害社會公共秩序之資料，請通報轄區警察機關處理。</w:t>
      </w:r>
    </w:p>
    <w:p w:rsidR="00FF48E5" w:rsidRDefault="00FF48E5" w:rsidP="00FE4AC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Lines="50" w:before="180" w:line="560" w:lineRule="exact"/>
        <w:ind w:leftChars="150" w:left="1000" w:hangingChars="200" w:hanging="64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112B25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密切防範假冒身分至機關內施行詐騙案件，並加強對機關員工宣導，如發現詐騙個案，應迅速向有關機關反映，避免其他民眾持續受騙。</w:t>
      </w:r>
    </w:p>
    <w:p w:rsidR="006905A6" w:rsidRPr="00540AAA" w:rsidRDefault="00FC2DD8" w:rsidP="00540AAA">
      <w:pPr>
        <w:pStyle w:val="a9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beforeLines="50" w:before="180" w:line="560" w:lineRule="exact"/>
        <w:ind w:leftChars="0" w:hanging="376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540AA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其他協助機關辦理事項部分：</w:t>
      </w:r>
    </w:p>
    <w:p w:rsidR="00CB41DF" w:rsidRDefault="00FE4ACA" w:rsidP="00FE4ACA">
      <w:pPr>
        <w:tabs>
          <w:tab w:val="left" w:pos="567"/>
        </w:tabs>
        <w:autoSpaceDE w:val="0"/>
        <w:autoSpaceDN w:val="0"/>
        <w:adjustRightInd w:val="0"/>
        <w:spacing w:beforeLines="50" w:before="180" w:line="560" w:lineRule="exact"/>
        <w:ind w:leftChars="-119" w:left="994" w:hangingChars="400" w:hanging="128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 xml:space="preserve">    (</w:t>
      </w:r>
      <w:proofErr w:type="gramStart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一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)</w:t>
      </w:r>
      <w:r w:rsidR="00CB41DF" w:rsidRPr="00FE4AC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適時提醒員工赴陸有關赴陸風險，以提升員工危機意識，防範員工遭受威脅而洩密情事。</w:t>
      </w:r>
    </w:p>
    <w:p w:rsidR="00FE4ACA" w:rsidRPr="00FE4ACA" w:rsidRDefault="00FE4ACA" w:rsidP="00FE4ACA">
      <w:pPr>
        <w:tabs>
          <w:tab w:val="left" w:pos="426"/>
          <w:tab w:val="left" w:pos="1418"/>
          <w:tab w:val="left" w:pos="1843"/>
        </w:tabs>
        <w:autoSpaceDE w:val="0"/>
        <w:autoSpaceDN w:val="0"/>
        <w:adjustRightInd w:val="0"/>
        <w:spacing w:beforeLines="50" w:before="180" w:line="560" w:lineRule="exact"/>
        <w:ind w:leftChars="-52" w:left="995" w:hangingChars="350" w:hanging="112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 xml:space="preserve">   (二)</w:t>
      </w:r>
      <w:r w:rsidRPr="00FE4AC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協助掌握來</w:t>
      </w:r>
      <w:proofErr w:type="gramStart"/>
      <w:r w:rsidRPr="00FE4AC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臺</w:t>
      </w:r>
      <w:proofErr w:type="gramEnd"/>
      <w:r w:rsidRPr="00FE4AC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參訪大陸人士之違常活動，適時通知有關機關處理。</w:t>
      </w:r>
    </w:p>
    <w:p w:rsidR="00294720" w:rsidRDefault="00294720" w:rsidP="003753A4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b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b/>
          <w:kern w:val="0"/>
          <w:sz w:val="32"/>
          <w:szCs w:val="32"/>
          <w:lang w:val="zh-TW"/>
        </w:rPr>
        <w:t>危安狀況通報：</w:t>
      </w:r>
    </w:p>
    <w:p w:rsidR="00540AAA" w:rsidRPr="00635650" w:rsidRDefault="00635650" w:rsidP="00635650">
      <w:pPr>
        <w:pStyle w:val="a9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專案</w:t>
      </w:r>
      <w:proofErr w:type="gramStart"/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期間倘</w:t>
      </w:r>
      <w:proofErr w:type="gramEnd"/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發生重大危安狀況或洩密事件，應立即報告首長及通報政風室，並聯絡相關業務單位、轄區警</w:t>
      </w:r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lastRenderedPageBreak/>
        <w:t>察機關協助處理，並由政</w:t>
      </w:r>
      <w:proofErr w:type="gramStart"/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風室循系統</w:t>
      </w:r>
      <w:proofErr w:type="gramEnd"/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通報</w:t>
      </w:r>
      <w:proofErr w:type="gramStart"/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臺</w:t>
      </w:r>
      <w:proofErr w:type="gramEnd"/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中市政府政風處，</w:t>
      </w:r>
      <w:proofErr w:type="gramStart"/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俾</w:t>
      </w:r>
      <w:proofErr w:type="gramEnd"/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確實掌握全面狀況。</w:t>
      </w:r>
    </w:p>
    <w:p w:rsidR="00635650" w:rsidRDefault="00635650" w:rsidP="00635650">
      <w:pPr>
        <w:pStyle w:val="a9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通訊聯絡：</w:t>
      </w:r>
    </w:p>
    <w:p w:rsidR="00635650" w:rsidRPr="00635650" w:rsidRDefault="00635650" w:rsidP="00635650">
      <w:pPr>
        <w:pStyle w:val="a9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上班時間：</w:t>
      </w:r>
      <w:proofErr w:type="gramStart"/>
      <w:r w:rsidR="00F90FC3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本所</w:t>
      </w: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政風</w:t>
      </w:r>
      <w:proofErr w:type="gramEnd"/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室電話</w:t>
      </w:r>
      <w:r w:rsidR="00F90FC3">
        <w:rPr>
          <w:rFonts w:ascii="新細明體" w:eastAsia="新細明體" w:hAnsi="新細明體" w:cs="標楷體" w:hint="eastAsia"/>
          <w:kern w:val="0"/>
          <w:sz w:val="32"/>
          <w:szCs w:val="32"/>
          <w:lang w:val="zh-TW"/>
        </w:rPr>
        <w:t>：</w:t>
      </w:r>
      <w:r w:rsidR="0078796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(04)26831187</w:t>
      </w:r>
      <w:r w:rsidRPr="0063565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。</w:t>
      </w:r>
    </w:p>
    <w:p w:rsidR="00635650" w:rsidRPr="00635650" w:rsidRDefault="00635650" w:rsidP="00635650">
      <w:pPr>
        <w:pStyle w:val="a9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下班時間：</w:t>
      </w:r>
      <w:r w:rsidR="0078796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政風室主任林知逵</w:t>
      </w:r>
      <w:r w:rsidR="00307CF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手機</w:t>
      </w:r>
      <w:r w:rsidR="0078796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號碼</w:t>
      </w:r>
      <w:r w:rsidR="0078796A">
        <w:rPr>
          <w:rFonts w:ascii="新細明體" w:eastAsia="新細明體" w:hAnsi="新細明體" w:cs="標楷體" w:hint="eastAsia"/>
          <w:kern w:val="0"/>
          <w:sz w:val="32"/>
          <w:szCs w:val="32"/>
          <w:lang w:val="zh-TW"/>
        </w:rPr>
        <w:t>：</w:t>
      </w:r>
      <w:r w:rsidR="0078796A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0970-818597</w:t>
      </w: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。</w:t>
      </w:r>
    </w:p>
    <w:p w:rsidR="00294720" w:rsidRPr="00294720" w:rsidRDefault="0078796A" w:rsidP="003753A4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Lines="50" w:before="180" w:line="560" w:lineRule="exact"/>
        <w:ind w:leftChars="0"/>
        <w:jc w:val="both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本計畫奉區</w:t>
      </w:r>
      <w:r w:rsidR="00294720" w:rsidRPr="00294720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長核定後實施，如有未盡事宜，得隨時修正之。</w:t>
      </w:r>
    </w:p>
    <w:sectPr w:rsidR="00294720" w:rsidRPr="00294720" w:rsidSect="00FE378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1B3" w:rsidRDefault="00D931B3" w:rsidP="008604D8">
      <w:r>
        <w:separator/>
      </w:r>
    </w:p>
  </w:endnote>
  <w:endnote w:type="continuationSeparator" w:id="0">
    <w:p w:rsidR="00D931B3" w:rsidRDefault="00D931B3" w:rsidP="0086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4D8" w:rsidRDefault="008604D8" w:rsidP="008604D8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</w:instrText>
    </w:r>
    <w:r>
      <w:instrText xml:space="preserve"> </w:instrText>
    </w:r>
    <w:r>
      <w:fldChar w:fldCharType="separate"/>
    </w:r>
    <w:r w:rsidR="008C2D9C">
      <w:rPr>
        <w:noProof/>
      </w:rPr>
      <w:t>5</w:t>
    </w:r>
    <w:r>
      <w:fldChar w:fldCharType="end"/>
    </w:r>
    <w:r>
      <w:rPr>
        <w:rFonts w:hint="eastAsia"/>
      </w:rPr>
      <w:t>頁，共</w:t>
    </w:r>
    <w:r>
      <w:fldChar w:fldCharType="begin"/>
    </w:r>
    <w:r>
      <w:instrText xml:space="preserve"> </w:instrText>
    </w:r>
    <w:r>
      <w:rPr>
        <w:rFonts w:hint="eastAsia"/>
      </w:rPr>
      <w:instrText>NUMPAGES</w:instrText>
    </w:r>
    <w:r>
      <w:instrText xml:space="preserve"> </w:instrText>
    </w:r>
    <w:r>
      <w:fldChar w:fldCharType="separate"/>
    </w:r>
    <w:r w:rsidR="008C2D9C">
      <w:rPr>
        <w:noProof/>
      </w:rPr>
      <w:t>5</w:t>
    </w:r>
    <w: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1B3" w:rsidRDefault="00D931B3" w:rsidP="008604D8">
      <w:r>
        <w:separator/>
      </w:r>
    </w:p>
  </w:footnote>
  <w:footnote w:type="continuationSeparator" w:id="0">
    <w:p w:rsidR="00D931B3" w:rsidRDefault="00D931B3" w:rsidP="00860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5AC3"/>
    <w:multiLevelType w:val="hybridMultilevel"/>
    <w:tmpl w:val="147C5866"/>
    <w:lvl w:ilvl="0" w:tplc="3D900C10">
      <w:start w:val="1"/>
      <w:numFmt w:val="taiwaneseCountingThousand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2D6532"/>
    <w:multiLevelType w:val="hybridMultilevel"/>
    <w:tmpl w:val="B7AE1694"/>
    <w:lvl w:ilvl="0" w:tplc="8862AC12">
      <w:start w:val="1"/>
      <w:numFmt w:val="taiwaneseCountingThousand"/>
      <w:lvlText w:val="%1、"/>
      <w:lvlJc w:val="left"/>
      <w:pPr>
        <w:ind w:left="825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2">
    <w:nsid w:val="262214BD"/>
    <w:multiLevelType w:val="hybridMultilevel"/>
    <w:tmpl w:val="4EF0D62C"/>
    <w:lvl w:ilvl="0" w:tplc="3B7EC84A">
      <w:start w:val="1"/>
      <w:numFmt w:val="taiwaneseCountingThousand"/>
      <w:lvlText w:val="%1、"/>
      <w:lvlJc w:val="left"/>
      <w:pPr>
        <w:ind w:left="255" w:hanging="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2B6871EF"/>
    <w:multiLevelType w:val="hybridMultilevel"/>
    <w:tmpl w:val="8BB0656A"/>
    <w:lvl w:ilvl="0" w:tplc="BCE09318">
      <w:start w:val="1"/>
      <w:numFmt w:val="taiwaneseCountingThousand"/>
      <w:lvlText w:val="%1、"/>
      <w:lvlJc w:val="left"/>
      <w:pPr>
        <w:ind w:left="255" w:hanging="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36D2644F"/>
    <w:multiLevelType w:val="hybridMultilevel"/>
    <w:tmpl w:val="A5F657CE"/>
    <w:lvl w:ilvl="0" w:tplc="7AA47B96">
      <w:start w:val="1"/>
      <w:numFmt w:val="ideographLegalTraditional"/>
      <w:lvlText w:val="%1、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C54F83"/>
    <w:multiLevelType w:val="hybridMultilevel"/>
    <w:tmpl w:val="D722DDFA"/>
    <w:lvl w:ilvl="0" w:tplc="41027DB4">
      <w:start w:val="1"/>
      <w:numFmt w:val="taiwaneseCountingThousand"/>
      <w:lvlText w:val="(%1)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44BF0910"/>
    <w:multiLevelType w:val="hybridMultilevel"/>
    <w:tmpl w:val="C3088D6A"/>
    <w:lvl w:ilvl="0" w:tplc="EB025380">
      <w:start w:val="1"/>
      <w:numFmt w:val="taiwaneseCountingThousand"/>
      <w:lvlText w:val="(%1)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51211752"/>
    <w:multiLevelType w:val="hybridMultilevel"/>
    <w:tmpl w:val="FD38F4B4"/>
    <w:lvl w:ilvl="0" w:tplc="BFDAC7F0">
      <w:start w:val="1"/>
      <w:numFmt w:val="taiwaneseCountingThousand"/>
      <w:lvlText w:val="（%1）"/>
      <w:lvlJc w:val="left"/>
      <w:pPr>
        <w:ind w:left="66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54FD4650"/>
    <w:multiLevelType w:val="hybridMultilevel"/>
    <w:tmpl w:val="505C4CB4"/>
    <w:lvl w:ilvl="0" w:tplc="C7B87364">
      <w:start w:val="1"/>
      <w:numFmt w:val="taiwaneseCountingThousand"/>
      <w:lvlText w:val="(%1)"/>
      <w:lvlJc w:val="left"/>
      <w:pPr>
        <w:ind w:left="99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9">
    <w:nsid w:val="75BD1FE9"/>
    <w:multiLevelType w:val="hybridMultilevel"/>
    <w:tmpl w:val="EBF82BE4"/>
    <w:lvl w:ilvl="0" w:tplc="28EE7548">
      <w:start w:val="1"/>
      <w:numFmt w:val="taiwaneseCountingThousand"/>
      <w:lvlText w:val="%1、"/>
      <w:lvlJc w:val="left"/>
      <w:pPr>
        <w:ind w:left="33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EB"/>
    <w:rsid w:val="00047DDC"/>
    <w:rsid w:val="0005227E"/>
    <w:rsid w:val="00076E18"/>
    <w:rsid w:val="000D6FFF"/>
    <w:rsid w:val="0010169D"/>
    <w:rsid w:val="001021CC"/>
    <w:rsid w:val="00112B25"/>
    <w:rsid w:val="00131986"/>
    <w:rsid w:val="0013530C"/>
    <w:rsid w:val="001732D0"/>
    <w:rsid w:val="001A000F"/>
    <w:rsid w:val="001A3ED2"/>
    <w:rsid w:val="001C673C"/>
    <w:rsid w:val="00202C31"/>
    <w:rsid w:val="00241DF7"/>
    <w:rsid w:val="00271177"/>
    <w:rsid w:val="00294720"/>
    <w:rsid w:val="00304CDB"/>
    <w:rsid w:val="00307CFA"/>
    <w:rsid w:val="003315D0"/>
    <w:rsid w:val="00334C23"/>
    <w:rsid w:val="00371B4C"/>
    <w:rsid w:val="003753A4"/>
    <w:rsid w:val="003E362B"/>
    <w:rsid w:val="003E602E"/>
    <w:rsid w:val="003F1ED5"/>
    <w:rsid w:val="003F4D4D"/>
    <w:rsid w:val="004010CB"/>
    <w:rsid w:val="00417F4D"/>
    <w:rsid w:val="0045558C"/>
    <w:rsid w:val="00457717"/>
    <w:rsid w:val="0045771D"/>
    <w:rsid w:val="004B695A"/>
    <w:rsid w:val="004B706F"/>
    <w:rsid w:val="004C0031"/>
    <w:rsid w:val="004C31E4"/>
    <w:rsid w:val="004D17E7"/>
    <w:rsid w:val="004E24B0"/>
    <w:rsid w:val="00501322"/>
    <w:rsid w:val="005221CF"/>
    <w:rsid w:val="00540AAA"/>
    <w:rsid w:val="0058295D"/>
    <w:rsid w:val="005A2B6B"/>
    <w:rsid w:val="005D7E59"/>
    <w:rsid w:val="00615213"/>
    <w:rsid w:val="00635650"/>
    <w:rsid w:val="006515D3"/>
    <w:rsid w:val="00652AA8"/>
    <w:rsid w:val="00657A2B"/>
    <w:rsid w:val="006905A6"/>
    <w:rsid w:val="006A35F2"/>
    <w:rsid w:val="006B205D"/>
    <w:rsid w:val="006C07C8"/>
    <w:rsid w:val="006F17F0"/>
    <w:rsid w:val="006F1A3B"/>
    <w:rsid w:val="0070039D"/>
    <w:rsid w:val="007139B3"/>
    <w:rsid w:val="0074404A"/>
    <w:rsid w:val="00750450"/>
    <w:rsid w:val="00765AE1"/>
    <w:rsid w:val="00783963"/>
    <w:rsid w:val="0078796A"/>
    <w:rsid w:val="007E6EC8"/>
    <w:rsid w:val="00826606"/>
    <w:rsid w:val="00834C6D"/>
    <w:rsid w:val="008604D8"/>
    <w:rsid w:val="008B201B"/>
    <w:rsid w:val="008C2D9C"/>
    <w:rsid w:val="00927813"/>
    <w:rsid w:val="009278A8"/>
    <w:rsid w:val="00945F8D"/>
    <w:rsid w:val="00975546"/>
    <w:rsid w:val="00980262"/>
    <w:rsid w:val="009B0E51"/>
    <w:rsid w:val="009B33DE"/>
    <w:rsid w:val="009F1156"/>
    <w:rsid w:val="00A14AA7"/>
    <w:rsid w:val="00A5147A"/>
    <w:rsid w:val="00AC0262"/>
    <w:rsid w:val="00AC07D6"/>
    <w:rsid w:val="00AE77EB"/>
    <w:rsid w:val="00B568E3"/>
    <w:rsid w:val="00B731F7"/>
    <w:rsid w:val="00B81665"/>
    <w:rsid w:val="00C6123D"/>
    <w:rsid w:val="00CB27BB"/>
    <w:rsid w:val="00CB41DF"/>
    <w:rsid w:val="00CC410D"/>
    <w:rsid w:val="00CE54DC"/>
    <w:rsid w:val="00D0273A"/>
    <w:rsid w:val="00D25784"/>
    <w:rsid w:val="00D27C24"/>
    <w:rsid w:val="00D5096C"/>
    <w:rsid w:val="00D86D4B"/>
    <w:rsid w:val="00D91708"/>
    <w:rsid w:val="00D931B3"/>
    <w:rsid w:val="00D95F3E"/>
    <w:rsid w:val="00DB025D"/>
    <w:rsid w:val="00EE500C"/>
    <w:rsid w:val="00F05E16"/>
    <w:rsid w:val="00F508D0"/>
    <w:rsid w:val="00F90FC3"/>
    <w:rsid w:val="00FB1672"/>
    <w:rsid w:val="00FC2DD8"/>
    <w:rsid w:val="00FE3783"/>
    <w:rsid w:val="00FE4ACA"/>
    <w:rsid w:val="00FE7F09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04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04D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2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2B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27C2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04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04D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2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2B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27C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9C050-7BFC-4064-83FF-F228D6FB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1467</Characters>
  <Application>Microsoft Office Word</Application>
  <DocSecurity>0</DocSecurity>
  <Lines>12</Lines>
  <Paragraphs>3</Paragraphs>
  <ScaleCrop>false</ScaleCrop>
  <Company>Sky123.Org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aac2176</dc:creator>
  <cp:lastModifiedBy>user</cp:lastModifiedBy>
  <cp:revision>15</cp:revision>
  <cp:lastPrinted>2018-08-22T02:14:00Z</cp:lastPrinted>
  <dcterms:created xsi:type="dcterms:W3CDTF">2018-08-22T02:11:00Z</dcterms:created>
  <dcterms:modified xsi:type="dcterms:W3CDTF">2018-08-22T02:14:00Z</dcterms:modified>
</cp:coreProperties>
</file>